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cs="Calibri" w:cstheme="minorHAnsi"/>
          <w:b/>
          <w:bCs/>
          <w:color w:themeColor="accent6" w:themeShade="bf" w:val="E36C0A"/>
          <w:sz w:val="40"/>
          <w:szCs w:val="40"/>
        </w:rPr>
      </w:pPr>
      <w:r>
        <w:rPr>
          <w:rFonts w:cs="Calibri" w:cstheme="minorHAnsi"/>
          <w:b/>
          <w:bCs/>
          <w:color w:themeColor="accent6" w:themeShade="bf" w:val="E36C0A"/>
          <w:sz w:val="40"/>
          <w:szCs w:val="40"/>
        </w:rPr>
      </w:r>
    </w:p>
    <w:p>
      <w:pPr>
        <w:pStyle w:val="Normal"/>
        <w:jc w:val="both"/>
        <w:rPr>
          <w:rFonts w:cs="Calibri" w:cstheme="minorHAnsi"/>
          <w:b/>
          <w:bCs/>
          <w:color w:themeColor="accent6" w:themeShade="bf" w:val="E36C0A"/>
          <w:sz w:val="40"/>
          <w:szCs w:val="40"/>
        </w:rPr>
      </w:pPr>
      <w:r>
        <w:rPr>
          <w:rFonts w:cs="Calibri" w:cstheme="minorHAnsi"/>
          <w:b/>
          <w:bCs/>
          <w:color w:themeColor="accent6" w:themeShade="bf" w:val="E36C0A"/>
          <w:sz w:val="40"/>
          <w:szCs w:val="40"/>
        </w:rPr>
        <w:t xml:space="preserve">Właz żeliwny A15 OP 500 </w:t>
      </w:r>
    </w:p>
    <w:p>
      <w:pPr>
        <w:pStyle w:val="Normal"/>
        <w:jc w:val="both"/>
        <w:rPr>
          <w:rFonts w:cs="Calibri" w:cstheme="minorHAnsi"/>
          <w:b/>
          <w:bCs/>
          <w:sz w:val="24"/>
          <w:szCs w:val="24"/>
        </w:rPr>
      </w:pPr>
      <w:r>
        <w:rPr/>
        <w:drawing>
          <wp:inline distT="0" distB="0" distL="0" distR="0">
            <wp:extent cx="2819400" cy="1981200"/>
            <wp:effectExtent l="0" t="0" r="0" b="0"/>
            <wp:docPr id="1" name="Obraz 2" descr="Dekiel l pokrywa l właz do szamba l studni ogrodowej l na studnię l żeliwny l okrągła l 400 l A15 l H=50 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Dekiel l pokrywa l właz do szamba l studni ogrodowej l na studnię l żeliwny l okrągła l 400 l A15 l H=50 m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Producent: LUDWIKOWSKI</w:t>
        <w:br/>
        <w:t>Kod produktu: WŁAZOP500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Zastosowanie:</w:t>
        <w:br/>
      </w:r>
      <w:r>
        <w:rPr>
          <w:rFonts w:cs="Calibri" w:cstheme="minorHAnsi"/>
          <w:sz w:val="24"/>
          <w:szCs w:val="24"/>
        </w:rPr>
        <w:t>Właz żeliwny wraz z ramką, okrągły, zabezpieczony warstwą ochronną w kolorze czarnym. Właz wykonany z trwałego żeliwa szarego, zgodnie z normą EN-124. 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Właz może być stosowany zarówno do przykrycia studzienki kanalizacyjnej, szamba, kominka i rury.</w:t>
      </w:r>
    </w:p>
    <w:p>
      <w:pPr>
        <w:pStyle w:val="Normal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Specyfikacja: </w:t>
      </w:r>
    </w:p>
    <w:p>
      <w:pPr>
        <w:pStyle w:val="Normal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Klasa: A15 OP500, </w:t>
      </w:r>
      <w:r>
        <w:rPr>
          <w:rFonts w:cs="Calibri" w:cstheme="minorHAnsi"/>
          <w:sz w:val="24"/>
          <w:szCs w:val="24"/>
        </w:rPr>
        <w:t>która przeznaczona jest wyłącznie do ruchu pieszego i rowerowego. </w:t>
      </w:r>
    </w:p>
    <w:p>
      <w:pPr>
        <w:pStyle w:val="Normal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Waga: 21 kg</w:t>
      </w:r>
    </w:p>
    <w:p>
      <w:pPr>
        <w:pStyle w:val="Normal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Średnica zewnętrzna podstawy: 545 mm</w:t>
      </w:r>
    </w:p>
    <w:p>
      <w:pPr>
        <w:pStyle w:val="ListParagraph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Średnica pokrywy otworu: 525 mm</w:t>
      </w:r>
    </w:p>
    <w:p>
      <w:pPr>
        <w:pStyle w:val="Normal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Wysokość: 50 mm </w:t>
      </w:r>
    </w:p>
    <w:p>
      <w:pPr>
        <w:pStyle w:val="Normal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DEKLARACJE: </w:t>
      </w:r>
      <w:hyperlink r:id="rId3" w:tgtFrame="_blank">
        <w:r>
          <w:rPr>
            <w:rStyle w:val="Hyperlink"/>
            <w:rFonts w:cs="Calibri" w:cstheme="minorHAnsi"/>
            <w:b/>
            <w:bCs/>
            <w:sz w:val="24"/>
            <w:szCs w:val="24"/>
          </w:rPr>
          <w:t>KDWU_LUDWIKOWSKI_WLAZYZELIWNE</w:t>
        </w:r>
      </w:hyperlink>
    </w:p>
    <w:p>
      <w:pPr>
        <w:pStyle w:val="Normal"/>
        <w:jc w:val="both"/>
        <w:rPr>
          <w:rFonts w:cs="Calibri" w:cstheme="minorHAnsi"/>
          <w:b/>
          <w:bCs/>
          <w:sz w:val="24"/>
          <w:szCs w:val="24"/>
        </w:rPr>
      </w:pPr>
      <w:hyperlink r:id="rId4">
        <w:r>
          <w:rPr>
            <w:rStyle w:val="Hyperlink"/>
            <w:rFonts w:cs="Calibri" w:cstheme="minorHAnsi"/>
            <w:b/>
            <w:bCs/>
            <w:sz w:val="24"/>
            <w:szCs w:val="24"/>
          </w:rPr>
          <w:t>Zapytaj o produkt</w:t>
        </w:r>
      </w:hyperlink>
    </w:p>
    <w:p>
      <w:pPr>
        <w:pStyle w:val="Normal"/>
        <w:spacing w:before="0" w:after="200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Właz fi500 - A15 - dekiel – korek – pokrywa - właz do szamba - studni ogrodowej – właz żeliwny - okrągły </w:t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417" w:right="1417" w:gutter="0" w:header="17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Zakład Budowlano – Betoniarski                                                                                                                                         mail: zbbmizera@zbbmizera.pl</w:t>
    </w:r>
  </w:p>
  <w:p>
    <w:pPr>
      <w:pStyle w:val="Footer"/>
      <w:rPr>
        <w:sz w:val="16"/>
        <w:szCs w:val="16"/>
      </w:rPr>
    </w:pPr>
    <w:r>
      <w:rPr>
        <w:sz w:val="16"/>
        <w:szCs w:val="16"/>
      </w:rPr>
      <w:t>mgr inż. Andrzej Mizera                                                                                                                                                        Kom. 695 308 925</w:t>
    </w:r>
  </w:p>
  <w:p>
    <w:pPr>
      <w:pStyle w:val="Footer"/>
      <w:rPr>
        <w:sz w:val="16"/>
        <w:szCs w:val="16"/>
      </w:rPr>
    </w:pPr>
    <w:r>
      <w:rPr>
        <w:sz w:val="16"/>
        <w:szCs w:val="16"/>
      </w:rPr>
      <w:t xml:space="preserve">42-400 Zawiercie ul. Obrońców Poczty Gdańskiej 58                                                                                                      Tel.32 67 089 25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1" w:color="000000"/>
      </w:pBdr>
      <w:rPr>
        <w:sz w:val="16"/>
        <w:szCs w:val="16"/>
      </w:rPr>
    </w:pPr>
    <w:r>
      <w:rPr>
        <w:sz w:val="16"/>
        <w:szCs w:val="16"/>
      </w:rPr>
      <w:t>Zakład Budowlano – Betoniarski                                                                                                                                         mail: zbbmizera@zbbmizera.pl</w:t>
    </w:r>
  </w:p>
  <w:p>
    <w:pPr>
      <w:pStyle w:val="Footer"/>
      <w:rPr>
        <w:sz w:val="16"/>
        <w:szCs w:val="16"/>
      </w:rPr>
    </w:pPr>
    <w:r>
      <w:rPr>
        <w:sz w:val="16"/>
        <w:szCs w:val="16"/>
      </w:rPr>
      <w:t>mgr inż. Andrzej Mizera                                                                                                                                                        Kom. 695 308 925</w:t>
    </w:r>
  </w:p>
  <w:p>
    <w:pPr>
      <w:pStyle w:val="Footer"/>
      <w:rPr>
        <w:sz w:val="16"/>
        <w:szCs w:val="16"/>
      </w:rPr>
    </w:pPr>
    <w:r>
      <w:rPr>
        <w:sz w:val="16"/>
        <w:szCs w:val="16"/>
      </w:rPr>
      <w:t xml:space="preserve">42-400 Zawiercie ul. Obrońców Poczty Gdańskiej 58                                                                                                      Tel.32 67 089 25                                                                                                  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rPr>
        <w:color w:themeColor="accent6" w:themeShade="bf" w:val="E36C0A"/>
        <w:sz w:val="36"/>
        <w:szCs w:val="36"/>
      </w:rPr>
    </w:pPr>
    <w:r>
      <w:rPr/>
      <w:drawing>
        <wp:inline distT="0" distB="0" distL="0" distR="0">
          <wp:extent cx="1321435" cy="669290"/>
          <wp:effectExtent l="0" t="0" r="0" b="0"/>
          <wp:docPr id="2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70" t="0" r="227" b="5913"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66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</w:t>
    </w:r>
    <w:r>
      <w:rPr>
        <w:color w:themeColor="accent6" w:themeShade="bf" w:val="E36C0A"/>
        <w:sz w:val="36"/>
        <w:szCs w:val="36"/>
      </w:rPr>
      <w:t>KARTA KATALOGOWA 5.2/8.24</w:t>
    </w:r>
  </w:p>
  <w:p>
    <w:pPr>
      <w:pStyle w:val="Header"/>
      <w:pBdr>
        <w:bottom w:val="single" w:sz="4" w:space="1" w:color="000000"/>
      </w:pBdr>
      <w:rPr/>
    </w:pPr>
    <w:r>
      <w:rPr>
        <w:color w:themeColor="accent6" w:themeShade="bf" w:val="E36C0A"/>
        <w:sz w:val="36"/>
        <w:szCs w:val="36"/>
      </w:rPr>
      <w:t xml:space="preserve"> </w:t>
    </w:r>
    <w:r>
      <w:rPr>
        <w:b/>
        <w:bCs/>
        <w:color w:themeColor="accent6" w:themeShade="bf" w:val="E36C0A"/>
        <w:sz w:val="36"/>
        <w:szCs w:val="36"/>
      </w:rPr>
      <w:fldChar w:fldCharType="begin"/>
    </w:r>
    <w:r>
      <w:rPr>
        <w:sz w:val="36"/>
        <w:b/>
        <w:szCs w:val="36"/>
        <w:bCs/>
        <w:color w:themeColor="accent6" w:themeShade="bf" w:val="E36C0A"/>
      </w:rPr>
      <w:instrText xml:space="preserve"> PAGE </w:instrText>
    </w:r>
    <w:r>
      <w:rPr>
        <w:sz w:val="36"/>
        <w:b/>
        <w:szCs w:val="36"/>
        <w:bCs/>
        <w:color w:themeColor="accent6" w:themeShade="bf" w:val="E36C0A"/>
      </w:rPr>
      <w:fldChar w:fldCharType="separate"/>
    </w:r>
    <w:r>
      <w:rPr>
        <w:sz w:val="36"/>
        <w:b/>
        <w:szCs w:val="36"/>
        <w:bCs/>
        <w:color w:themeColor="accent6" w:themeShade="bf" w:val="E36C0A"/>
      </w:rPr>
      <w:t>1</w:t>
    </w:r>
    <w:r>
      <w:rPr>
        <w:sz w:val="36"/>
        <w:b/>
        <w:szCs w:val="36"/>
        <w:bCs/>
        <w:color w:themeColor="accent6" w:themeShade="bf" w:val="E36C0A"/>
      </w:rPr>
      <w:fldChar w:fldCharType="end"/>
    </w:r>
    <w:r>
      <w:rPr>
        <w:b/>
        <w:bCs/>
        <w:color w:themeColor="accent6" w:themeShade="bf" w:val="E36C0A"/>
        <w:sz w:val="36"/>
        <w:szCs w:val="36"/>
      </w:rPr>
      <w:t xml:space="preserve"> </w:t>
    </w:r>
    <w:r>
      <w:rPr>
        <w:color w:themeColor="accent6" w:themeShade="bf" w:val="E36C0A"/>
        <w:sz w:val="36"/>
        <w:szCs w:val="36"/>
      </w:rPr>
      <w:t>|</w:t>
    </w:r>
    <w:r>
      <w:rPr>
        <w:b/>
        <w:bCs/>
        <w:color w:themeColor="accent6" w:themeShade="bf" w:val="E36C0A"/>
        <w:sz w:val="36"/>
        <w:szCs w:val="36"/>
      </w:rPr>
      <w:t xml:space="preserve"> </w:t>
    </w:r>
    <w:r>
      <w:rPr>
        <w:color w:themeColor="background1" w:themeShade="7f" w:val="7F7F7F"/>
        <w:spacing w:val="60"/>
        <w:sz w:val="36"/>
        <w:szCs w:val="36"/>
      </w:rPr>
      <w:t>Strona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4" w:space="1" w:color="000000"/>
      </w:pBdr>
      <w:rPr>
        <w:color w:themeColor="accent6" w:themeShade="bf" w:val="E36C0A"/>
        <w:sz w:val="36"/>
        <w:szCs w:val="36"/>
      </w:rPr>
    </w:pPr>
    <w:r>
      <w:rPr/>
      <w:drawing>
        <wp:inline distT="0" distB="0" distL="0" distR="0">
          <wp:extent cx="1321435" cy="669290"/>
          <wp:effectExtent l="0" t="0" r="0" b="0"/>
          <wp:docPr id="3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70" t="0" r="227" b="5913"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66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</w:t>
    </w:r>
    <w:r>
      <w:rPr>
        <w:color w:themeColor="accent6" w:themeShade="bf" w:val="E36C0A"/>
        <w:sz w:val="36"/>
        <w:szCs w:val="36"/>
      </w:rPr>
      <w:t>KARTA KATALOGOWA 5.2/8.24</w:t>
    </w:r>
  </w:p>
  <w:p>
    <w:pPr>
      <w:pStyle w:val="Header"/>
      <w:pBdr>
        <w:bottom w:val="single" w:sz="4" w:space="1" w:color="000000"/>
      </w:pBdr>
      <w:rPr/>
    </w:pPr>
    <w:r>
      <w:rPr>
        <w:color w:themeColor="accent6" w:themeShade="bf" w:val="E36C0A"/>
        <w:sz w:val="36"/>
        <w:szCs w:val="36"/>
      </w:rPr>
      <w:t xml:space="preserve"> </w:t>
    </w:r>
    <w:r>
      <w:rPr>
        <w:b/>
        <w:bCs/>
        <w:color w:themeColor="accent6" w:themeShade="bf" w:val="E36C0A"/>
        <w:sz w:val="36"/>
        <w:szCs w:val="36"/>
      </w:rPr>
      <w:fldChar w:fldCharType="begin"/>
    </w:r>
    <w:r>
      <w:rPr>
        <w:sz w:val="36"/>
        <w:b/>
        <w:szCs w:val="36"/>
        <w:bCs/>
        <w:color w:themeColor="accent6" w:themeShade="bf" w:val="E36C0A"/>
      </w:rPr>
      <w:instrText xml:space="preserve"> PAGE </w:instrText>
    </w:r>
    <w:r>
      <w:rPr>
        <w:sz w:val="36"/>
        <w:b/>
        <w:szCs w:val="36"/>
        <w:bCs/>
        <w:color w:themeColor="accent6" w:themeShade="bf" w:val="E36C0A"/>
      </w:rPr>
      <w:fldChar w:fldCharType="separate"/>
    </w:r>
    <w:r>
      <w:rPr>
        <w:sz w:val="36"/>
        <w:b/>
        <w:szCs w:val="36"/>
        <w:bCs/>
        <w:color w:themeColor="accent6" w:themeShade="bf" w:val="E36C0A"/>
      </w:rPr>
      <w:t>1</w:t>
    </w:r>
    <w:r>
      <w:rPr>
        <w:sz w:val="36"/>
        <w:b/>
        <w:szCs w:val="36"/>
        <w:bCs/>
        <w:color w:themeColor="accent6" w:themeShade="bf" w:val="E36C0A"/>
      </w:rPr>
      <w:fldChar w:fldCharType="end"/>
    </w:r>
    <w:r>
      <w:rPr>
        <w:b/>
        <w:bCs/>
        <w:color w:themeColor="accent6" w:themeShade="bf" w:val="E36C0A"/>
        <w:sz w:val="36"/>
        <w:szCs w:val="36"/>
      </w:rPr>
      <w:t xml:space="preserve"> </w:t>
    </w:r>
    <w:r>
      <w:rPr>
        <w:color w:themeColor="accent6" w:themeShade="bf" w:val="E36C0A"/>
        <w:sz w:val="36"/>
        <w:szCs w:val="36"/>
      </w:rPr>
      <w:t>|</w:t>
    </w:r>
    <w:r>
      <w:rPr>
        <w:b/>
        <w:bCs/>
        <w:color w:themeColor="accent6" w:themeShade="bf" w:val="E36C0A"/>
        <w:sz w:val="36"/>
        <w:szCs w:val="36"/>
      </w:rPr>
      <w:t xml:space="preserve"> </w:t>
    </w:r>
    <w:r>
      <w:rPr>
        <w:color w:themeColor="background1" w:themeShade="7f" w:val="7F7F7F"/>
        <w:spacing w:val="60"/>
        <w:sz w:val="36"/>
        <w:szCs w:val="36"/>
      </w:rPr>
      <w:t>Strona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50f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212249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link w:val="Nagwek2Znak"/>
    <w:uiPriority w:val="9"/>
    <w:qFormat/>
    <w:rsid w:val="0089158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0263d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63db"/>
    <w:rPr>
      <w:b/>
      <w:bCs/>
    </w:rPr>
  </w:style>
  <w:style w:type="character" w:styleId="NagwekZnak" w:customStyle="1">
    <w:name w:val="Nagłówek Znak"/>
    <w:basedOn w:val="DefaultParagraphFont"/>
    <w:uiPriority w:val="99"/>
    <w:qFormat/>
    <w:rsid w:val="00e671a7"/>
    <w:rPr/>
  </w:style>
  <w:style w:type="character" w:styleId="StopkaZnak" w:customStyle="1">
    <w:name w:val="Stopka Znak"/>
    <w:basedOn w:val="DefaultParagraphFont"/>
    <w:uiPriority w:val="99"/>
    <w:qFormat/>
    <w:rsid w:val="00e671a7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575e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23282"/>
    <w:rPr>
      <w:i/>
      <w:iCs/>
    </w:rPr>
  </w:style>
  <w:style w:type="character" w:styleId="Nagwek2Znak" w:customStyle="1">
    <w:name w:val="Nagłówek 2 Znak"/>
    <w:basedOn w:val="DefaultParagraphFont"/>
    <w:uiPriority w:val="9"/>
    <w:qFormat/>
    <w:rsid w:val="0089158d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1Znak" w:customStyle="1">
    <w:name w:val="Nagłówek 1 Znak"/>
    <w:basedOn w:val="DefaultParagraphFont"/>
    <w:uiPriority w:val="9"/>
    <w:qFormat/>
    <w:rsid w:val="00212249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12249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0263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671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671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575e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a11d3c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f278d0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zbbmizera.pl/images/design/pdf/KDWU-_LUDWIKOWSKI_WLAZYZELIWNE.pdf" TargetMode="External"/><Relationship Id="rId4" Type="http://schemas.openxmlformats.org/officeDocument/2006/relationships/hyperlink" Target="https://www.zbbmizera.pl/kontak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F3077-D13D-40DE-8A58-9AF63FA4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LibreOffice/7.6.0.3$Windows_X86_64 LibreOffice_project/69edd8b8ebc41d00b4de3915dc82f8f0fc3b6265</Application>
  <AppVersion>15.0000</AppVersion>
  <Pages>1</Pages>
  <Words>134</Words>
  <Characters>770</Characters>
  <CharactersWithSpaces>1532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2024-08-08T15:09:00Z</dcterms:created>
  <dc:creator>Wlasciciel</dc:creator>
  <dc:description/>
  <dc:language>pl-PL</dc:language>
  <cp:lastModifiedBy>zbbmizera zbbmizera</cp:lastModifiedBy>
  <cp:lastPrinted>2024-03-06T13:28:00Z</cp:lastPrinted>
  <dcterms:modified xsi:type="dcterms:W3CDTF">2024-08-08T15:19:00Z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